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19DD" w:rsidRPr="00C819DD" w:rsidRDefault="00C819DD" w:rsidP="00C819D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C819DD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Les Talens </w:t>
      </w:r>
      <w:proofErr w:type="spellStart"/>
      <w:r w:rsidRPr="00C819DD">
        <w:rPr>
          <w:rFonts w:ascii="Times New Roman" w:eastAsia="Times New Roman" w:hAnsi="Times New Roman" w:cs="Times New Roman"/>
          <w:b/>
          <w:bCs/>
          <w:lang w:val="en-US" w:eastAsia="fr-FR"/>
        </w:rPr>
        <w:t>Lyriques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named after the subtitle of Rameau’s opera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Les Fêtes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d’Hébé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(1739), was founded in 1991 by harpsichordist and conductor </w:t>
      </w:r>
      <w:r w:rsidRPr="00C819DD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Christophe </w:t>
      </w:r>
      <w:proofErr w:type="spellStart"/>
      <w:r w:rsidRPr="00C819DD">
        <w:rPr>
          <w:rFonts w:ascii="Times New Roman" w:eastAsia="Times New Roman" w:hAnsi="Times New Roman" w:cs="Times New Roman"/>
          <w:b/>
          <w:bCs/>
          <w:lang w:val="en-US" w:eastAsia="fr-FR"/>
        </w:rPr>
        <w:t>Rousset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>.</w:t>
      </w:r>
    </w:p>
    <w:p w:rsidR="00C819DD" w:rsidRPr="00C819DD" w:rsidRDefault="00C819DD" w:rsidP="00C819D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Championing a broad vocal and instrumental repertoire spanning from the early Baroque to the dawn of Romanticism, Les Talens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Lyriques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aims to shed new light on the great masterpieces of music history through the lens of rare or previously unperformed works—true missing links in Europe’s musical heritage. </w:t>
      </w:r>
      <w:r>
        <w:rPr>
          <w:rFonts w:ascii="Times New Roman" w:eastAsia="Times New Roman" w:hAnsi="Times New Roman" w:cs="Times New Roman"/>
          <w:lang w:val="en-US" w:eastAsia="fr-FR"/>
        </w:rPr>
        <w:t>Their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musicological and editorial work is a key priority for the ensemble and plays a major role in its reputation.</w:t>
      </w:r>
    </w:p>
    <w:p w:rsidR="00C819DD" w:rsidRPr="00C819DD" w:rsidRDefault="00C819DD" w:rsidP="00C819D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C819DD">
        <w:rPr>
          <w:rFonts w:ascii="Times New Roman" w:eastAsia="Times New Roman" w:hAnsi="Times New Roman" w:cs="Times New Roman"/>
          <w:lang w:val="en-US" w:eastAsia="fr-FR"/>
        </w:rPr>
        <w:t>The ensemble’s repertoire ranges from Monteverdi (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L’Incoronazione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di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Poppea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Il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Ritorno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d’Ulisse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in patria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L’Orfeo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>), Cavalli (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La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Didone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La Calisto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),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Landi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(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La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Morte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d’Orfeo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),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Pallavicino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(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Le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amazzoni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nell’isole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fortunate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),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Legrenzi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(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La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divisione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del Mondo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), to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H</w:t>
      </w:r>
      <w:r>
        <w:rPr>
          <w:rFonts w:ascii="Times New Roman" w:eastAsia="Times New Roman" w:hAnsi="Times New Roman" w:cs="Times New Roman"/>
          <w:lang w:val="en-US" w:eastAsia="fr-FR"/>
        </w:rPr>
        <w:t>ä</w:t>
      </w:r>
      <w:r w:rsidRPr="00C819DD">
        <w:rPr>
          <w:rFonts w:ascii="Times New Roman" w:eastAsia="Times New Roman" w:hAnsi="Times New Roman" w:cs="Times New Roman"/>
          <w:lang w:val="en-US" w:eastAsia="fr-FR"/>
        </w:rPr>
        <w:t>ndel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(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Scipione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Riccardo Primo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Rinaldo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Admeto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Giulio Cesare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Serse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Arianna in Creta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Tamerlano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Ariodante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Semele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Alcina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Agrippina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Saul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Messiah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Jephtha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Orlando</w:t>
      </w:r>
      <w:r w:rsidRPr="00C819DD">
        <w:rPr>
          <w:rFonts w:ascii="Times New Roman" w:eastAsia="Times New Roman" w:hAnsi="Times New Roman" w:cs="Times New Roman"/>
          <w:lang w:val="en-US" w:eastAsia="fr-FR"/>
        </w:rPr>
        <w:t>), through to Lully (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Persée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Roland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Bellérophon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Phaéton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Amadis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Armide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Alceste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Isis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Thésée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Atys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Proserpine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Cadmus et Hermione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),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Desmarest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(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Didon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Vénus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et Adonis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),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Mondonville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(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Les Fêtes de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Paphos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),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Cimarosa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(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Il Mercato di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Malmantile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Il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Matrimonio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segreto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L’Olimpiade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),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Traetta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(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Antigona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Ippolito ed Aricia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Ifigenia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in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Tauride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),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Porpora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(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Ifigenia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in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Aulide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>), Jommelli (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Armida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abbandonata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>), Martín y Soler (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La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Capricciosa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corretta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Il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Tutore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burlato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>), Mozart (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Mitridate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Die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Entführung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aus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dem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Serail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Così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fan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tutte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Die Zauberflöte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La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clemenza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di Tito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Ascanio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in Alba</w:t>
      </w:r>
      <w:r w:rsidRPr="00C819DD">
        <w:rPr>
          <w:rFonts w:ascii="Times New Roman" w:eastAsia="Times New Roman" w:hAnsi="Times New Roman" w:cs="Times New Roman"/>
          <w:lang w:val="en-US" w:eastAsia="fr-FR"/>
        </w:rPr>
        <w:t>), Gassmann (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L’Opera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seria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>), Salieri (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La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Grotta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di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Trofonio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Les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Danaïdes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Les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Horaces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Tarare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Armida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Cublai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gran Kan de’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Tartari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>), Rameau (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Zoroastre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Castor et Pollux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Les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Indes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galantes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Platée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Pygmalion</w:t>
      </w:r>
      <w:r w:rsidRPr="00C819DD">
        <w:rPr>
          <w:rFonts w:ascii="Times New Roman" w:eastAsia="Times New Roman" w:hAnsi="Times New Roman" w:cs="Times New Roman"/>
          <w:lang w:val="en-US" w:eastAsia="fr-FR"/>
        </w:rPr>
        <w:t>), Gluck (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Bauci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e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Filemone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Alceste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Orphée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et Eurydice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Armide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>), Beethoven, and finally Cherubini (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Médée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>), García (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Il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Califfo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di Bagdad</w:t>
      </w:r>
      <w:r w:rsidRPr="00C819DD">
        <w:rPr>
          <w:rFonts w:ascii="Times New Roman" w:eastAsia="Times New Roman" w:hAnsi="Times New Roman" w:cs="Times New Roman"/>
          <w:lang w:val="en-US" w:eastAsia="fr-FR"/>
        </w:rPr>
        <w:t>), Berlioz, Massenet, Gounod (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Faust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),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Spontini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(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La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Vestale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), Saint-Saëns, Louise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Bertin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(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Fausto</w:t>
      </w:r>
      <w:r w:rsidRPr="00C819DD">
        <w:rPr>
          <w:rFonts w:ascii="Times New Roman" w:eastAsia="Times New Roman" w:hAnsi="Times New Roman" w:cs="Times New Roman"/>
          <w:lang w:val="en-US" w:eastAsia="fr-FR"/>
        </w:rPr>
        <w:t>), and even Schubert (complete symphonies).</w:t>
      </w:r>
    </w:p>
    <w:p w:rsidR="00C819DD" w:rsidRPr="00C819DD" w:rsidRDefault="00C819DD" w:rsidP="00C819D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The revival of these works goes hand-in-hand with close collaborations with stage directors and choreographers including Pierre Audi, Jean-Marie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Villégier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David McVicar, Eric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Vigner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Ludovic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Lagarde,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Mariame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Clément, Jean-Pierre Vincent, Macha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Makeïeff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Laura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Scozzi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Natalie van Parys,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Marcial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di Fonzo Bo, Claus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Guth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Robert Carsen, David Hermann, Christof Loy,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Jetske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Mijnssen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Alban Richard, David Lescot,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Phia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Ménard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Calixto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Bieito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Laurent Pelly, Jeanne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Desoubeaux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Damiano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Michieletto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Dmitri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Tcherniakov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and Max Emanuel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Cenčić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>.</w:t>
      </w:r>
    </w:p>
    <w:p w:rsidR="00C819DD" w:rsidRPr="00C819DD" w:rsidRDefault="00C819DD" w:rsidP="00C819D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Beyond the operatic repertoire, the Ensemble explores other genres such as the madrigal, cantata, air de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cour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symphony, and the vast sacred music repertoire (Masses, motets, oratorios, Tenebrae Lessons…). Season after season, Les Talens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Lyriques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Pr="00C819DD">
        <w:rPr>
          <w:rFonts w:ascii="Times New Roman" w:eastAsia="Times New Roman" w:hAnsi="Times New Roman" w:cs="Times New Roman"/>
          <w:lang w:val="en-US" w:eastAsia="fr-FR"/>
        </w:rPr>
        <w:t>performs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around the world, in formations ranging from a handful of musicians to over sixty performers of all generations.</w:t>
      </w:r>
    </w:p>
    <w:p w:rsidR="00C819DD" w:rsidRPr="00C819DD" w:rsidRDefault="00C819DD" w:rsidP="00C819D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The 2025–2026 season of Les Talens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Lyriques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is titled </w:t>
      </w:r>
      <w:r w:rsidRPr="00C819DD">
        <w:rPr>
          <w:rFonts w:ascii="Times New Roman" w:eastAsia="Times New Roman" w:hAnsi="Times New Roman" w:cs="Times New Roman"/>
          <w:b/>
          <w:bCs/>
          <w:lang w:val="en-US" w:eastAsia="fr-FR"/>
        </w:rPr>
        <w:t>“Love Stories”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. Christophe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Rousset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and the ensemble explore different facets of love through emblematic works and exciting rediscoveries: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Ifigenia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in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Tauride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by Tommaso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Traetta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Orlando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by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H</w:t>
      </w:r>
      <w:r>
        <w:rPr>
          <w:rFonts w:ascii="Times New Roman" w:eastAsia="Times New Roman" w:hAnsi="Times New Roman" w:cs="Times New Roman"/>
          <w:lang w:val="en-US" w:eastAsia="fr-FR"/>
        </w:rPr>
        <w:t>ä</w:t>
      </w:r>
      <w:r w:rsidRPr="00C819DD">
        <w:rPr>
          <w:rFonts w:ascii="Times New Roman" w:eastAsia="Times New Roman" w:hAnsi="Times New Roman" w:cs="Times New Roman"/>
          <w:lang w:val="en-US" w:eastAsia="fr-FR"/>
        </w:rPr>
        <w:t>ndel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L’Opera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seria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by Gassmann,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Ascanio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in Alba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and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La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Clemenza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di Tito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by Mozart. The season also sees the conclusion of the remarkable complete recording of Lully’s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tragédies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lyriques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with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Cadmus et Hermione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to be heard in concert at the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Philharmonie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de Paris.</w:t>
      </w:r>
    </w:p>
    <w:p w:rsidR="00C819DD" w:rsidRPr="00C819DD" w:rsidRDefault="00C819DD" w:rsidP="00C819D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C819DD">
        <w:rPr>
          <w:rFonts w:ascii="Times New Roman" w:eastAsia="Times New Roman" w:hAnsi="Times New Roman" w:cs="Times New Roman"/>
          <w:lang w:val="en-US" w:eastAsia="fr-FR"/>
        </w:rPr>
        <w:lastRenderedPageBreak/>
        <w:t xml:space="preserve">A new partnership is also launching this season between the Ensemble, the Salle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Cortot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and the École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Normale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de Musique de Paris: Les Talens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Lyriques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will offer public masterclasses and themed, annotated concerts.</w:t>
      </w:r>
    </w:p>
    <w:p w:rsidR="00C819DD" w:rsidRPr="00C819DD" w:rsidRDefault="00C819DD" w:rsidP="00C819D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Les Talens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Lyriques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now boasts a rich discography of over 100 recordings released on Erato,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Fnac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Music,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Auvidis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Decca, Naïve,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Ambroisie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Virgin Classics,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Ediciones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Singulares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(PBZ),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Outhere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, Château Versailles Spectacles (CVS), and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Aparté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. The ensemble also recorded the famous soundtrack to Gérard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Corbiau’s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film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Farinelli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(1994), which sold over one million copies.</w:t>
      </w:r>
    </w:p>
    <w:p w:rsidR="00C819DD" w:rsidRPr="00C819DD" w:rsidRDefault="00C819DD" w:rsidP="00C819D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The season will feature two new album releases: </w:t>
      </w:r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Proserpine</w:t>
      </w: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by Lully (Château de Versailles Spectacles) and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Ifigenia</w:t>
      </w:r>
      <w:proofErr w:type="spellEnd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 xml:space="preserve"> in </w:t>
      </w:r>
      <w:proofErr w:type="spellStart"/>
      <w:r w:rsidRPr="00C819DD">
        <w:rPr>
          <w:rFonts w:ascii="Times New Roman" w:eastAsia="Times New Roman" w:hAnsi="Times New Roman" w:cs="Times New Roman"/>
          <w:i/>
          <w:iCs/>
          <w:lang w:val="en-US" w:eastAsia="fr-FR"/>
        </w:rPr>
        <w:t>Tauride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by Tommaso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Traetta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(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Aparté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>).</w:t>
      </w:r>
    </w:p>
    <w:p w:rsidR="00C819DD" w:rsidRPr="00C819DD" w:rsidRDefault="00C819DD" w:rsidP="00C819D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Since 2007, the ensemble has introduced students to music through a wide-ranging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programme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of ambitious artistic projects and innovative educational initiatives. Les Talens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Lyriques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have been in residence in schools across Paris and the Île-de-France region for over 15 years, running orchestra classes and a broad cultural outreach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programme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. Their three educational apps, </w:t>
      </w:r>
      <w:proofErr w:type="spellStart"/>
      <w:r w:rsidRPr="00C819DD">
        <w:rPr>
          <w:rFonts w:ascii="Times New Roman" w:eastAsia="Times New Roman" w:hAnsi="Times New Roman" w:cs="Times New Roman"/>
          <w:b/>
          <w:bCs/>
          <w:lang w:val="en-US" w:eastAsia="fr-FR"/>
        </w:rPr>
        <w:t>t@lenschool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>, have generated great enthusiasm and have won multiple French and international awards.</w:t>
      </w:r>
    </w:p>
    <w:p w:rsidR="00C819DD" w:rsidRPr="00C819DD" w:rsidRDefault="00C819DD" w:rsidP="00C819D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Les Talens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Lyriques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have also launched a music therapy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programme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in the palliative care unit at the Toussaint Clinic in Strasbourg.</w:t>
      </w:r>
    </w:p>
    <w:p w:rsidR="00C819DD" w:rsidRPr="00C819DD" w:rsidRDefault="00C819DD" w:rsidP="00C819DD">
      <w:pPr>
        <w:rPr>
          <w:rFonts w:ascii="Times New Roman" w:eastAsia="Times New Roman" w:hAnsi="Times New Roman" w:cs="Times New Roman"/>
          <w:lang w:val="en-US" w:eastAsia="fr-FR"/>
        </w:rPr>
      </w:pPr>
    </w:p>
    <w:p w:rsidR="00C819DD" w:rsidRPr="00C819DD" w:rsidRDefault="00C819DD" w:rsidP="00C819D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C819DD">
        <w:rPr>
          <w:rFonts w:ascii="Times New Roman" w:eastAsia="Times New Roman" w:hAnsi="Times New Roman" w:cs="Times New Roman"/>
          <w:b/>
          <w:bCs/>
          <w:lang w:val="en-US" w:eastAsia="fr-FR"/>
        </w:rPr>
        <w:t>[Mandatory Mentions:]</w:t>
      </w:r>
      <w:r w:rsidRPr="00C819DD">
        <w:rPr>
          <w:rFonts w:ascii="Times New Roman" w:eastAsia="Times New Roman" w:hAnsi="Times New Roman" w:cs="Times New Roman"/>
          <w:lang w:val="en-US" w:eastAsia="fr-FR"/>
        </w:rPr>
        <w:br/>
        <w:t xml:space="preserve">Les Talens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Lyriques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are supported by the Ministry of Culture – DRAC Île-de-France, the City of Paris, and the Cercle des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Mécènes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>.</w:t>
      </w:r>
      <w:r w:rsidRPr="00C819DD">
        <w:rPr>
          <w:rFonts w:ascii="Times New Roman" w:eastAsia="Times New Roman" w:hAnsi="Times New Roman" w:cs="Times New Roman"/>
          <w:lang w:val="en-US" w:eastAsia="fr-FR"/>
        </w:rPr>
        <w:br/>
        <w:t xml:space="preserve">The Ensemble thanks its major patrons, notably the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GRoW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@ Annenberg Foundation – Gregory and Regina Annenberg Weingarten, and the </w:t>
      </w:r>
      <w:proofErr w:type="spellStart"/>
      <w:r>
        <w:rPr>
          <w:rFonts w:ascii="Times New Roman" w:eastAsia="Times New Roman" w:hAnsi="Times New Roman" w:cs="Times New Roman"/>
          <w:lang w:val="en-US" w:eastAsia="fr-FR"/>
        </w:rPr>
        <w:t>Fondation</w:t>
      </w:r>
      <w:proofErr w:type="spellEnd"/>
      <w:r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fr-FR"/>
        </w:rPr>
        <w:t>d’entreprise</w:t>
      </w:r>
      <w:proofErr w:type="spellEnd"/>
      <w:r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Pr="00C819DD">
        <w:rPr>
          <w:rFonts w:ascii="Times New Roman" w:eastAsia="Times New Roman" w:hAnsi="Times New Roman" w:cs="Times New Roman"/>
          <w:lang w:val="en-US" w:eastAsia="fr-FR"/>
        </w:rPr>
        <w:t>Société Générale.</w:t>
      </w:r>
      <w:r w:rsidRPr="00C819DD">
        <w:rPr>
          <w:rFonts w:ascii="Times New Roman" w:eastAsia="Times New Roman" w:hAnsi="Times New Roman" w:cs="Times New Roman"/>
          <w:lang w:val="en-US" w:eastAsia="fr-FR"/>
        </w:rPr>
        <w:br/>
        <w:t>The Ensemble regularly receives support for its national and international reach and its recording projects from the Centre National de la Musique.</w:t>
      </w:r>
      <w:r w:rsidRPr="00C819DD">
        <w:rPr>
          <w:rFonts w:ascii="Times New Roman" w:eastAsia="Times New Roman" w:hAnsi="Times New Roman" w:cs="Times New Roman"/>
          <w:lang w:val="en-US" w:eastAsia="fr-FR"/>
        </w:rPr>
        <w:br/>
        <w:t xml:space="preserve">Since 2011, Les Talens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Lyriques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has been an associate artist in residence at the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Fondation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Singer-Polignac.</w:t>
      </w:r>
      <w:r w:rsidRPr="00C819DD">
        <w:rPr>
          <w:rFonts w:ascii="Times New Roman" w:eastAsia="Times New Roman" w:hAnsi="Times New Roman" w:cs="Times New Roman"/>
          <w:lang w:val="en-US" w:eastAsia="fr-FR"/>
        </w:rPr>
        <w:br/>
        <w:t xml:space="preserve">Les Talens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Lyriques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are members of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Scène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Ensemble (professional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organisation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for the performing arts) and FEVIS (Federation of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specialised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vocal and instrumental ensembles).</w:t>
      </w:r>
    </w:p>
    <w:p w:rsidR="00C819DD" w:rsidRPr="00C819DD" w:rsidRDefault="00C819DD" w:rsidP="00C819D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hyperlink r:id="rId4" w:tgtFrame="_new" w:history="1">
        <w:r w:rsidRPr="00C819DD">
          <w:rPr>
            <w:rFonts w:ascii="Times New Roman" w:eastAsia="Times New Roman" w:hAnsi="Times New Roman" w:cs="Times New Roman"/>
            <w:color w:val="0000FF"/>
            <w:u w:val="single"/>
            <w:lang w:val="en-US" w:eastAsia="fr-FR"/>
          </w:rPr>
          <w:t>www.lestalenslyriques.com</w:t>
        </w:r>
      </w:hyperlink>
      <w:r w:rsidRPr="00C819DD">
        <w:rPr>
          <w:rFonts w:ascii="Times New Roman" w:eastAsia="Times New Roman" w:hAnsi="Times New Roman" w:cs="Times New Roman"/>
          <w:lang w:val="en-US" w:eastAsia="fr-FR"/>
        </w:rPr>
        <w:br/>
        <w:t>This document is regularly updated. Please request the latest version before use.</w:t>
      </w:r>
      <w:r w:rsidRPr="00C819DD">
        <w:rPr>
          <w:rFonts w:ascii="Times New Roman" w:eastAsia="Times New Roman" w:hAnsi="Times New Roman" w:cs="Times New Roman"/>
          <w:lang w:val="en-US" w:eastAsia="fr-FR"/>
        </w:rPr>
        <w:br/>
        <w:t xml:space="preserve">© Les Talens </w:t>
      </w:r>
      <w:proofErr w:type="spellStart"/>
      <w:r w:rsidRPr="00C819DD">
        <w:rPr>
          <w:rFonts w:ascii="Times New Roman" w:eastAsia="Times New Roman" w:hAnsi="Times New Roman" w:cs="Times New Roman"/>
          <w:lang w:val="en-US" w:eastAsia="fr-FR"/>
        </w:rPr>
        <w:t>Lyriques</w:t>
      </w:r>
      <w:proofErr w:type="spellEnd"/>
      <w:r w:rsidRPr="00C819DD">
        <w:rPr>
          <w:rFonts w:ascii="Times New Roman" w:eastAsia="Times New Roman" w:hAnsi="Times New Roman" w:cs="Times New Roman"/>
          <w:lang w:val="en-US" w:eastAsia="fr-FR"/>
        </w:rPr>
        <w:t xml:space="preserve"> – May 2025 – Do not modify without permission.</w:t>
      </w:r>
    </w:p>
    <w:p w:rsidR="007613D8" w:rsidRPr="00C819DD" w:rsidRDefault="007613D8">
      <w:pPr>
        <w:rPr>
          <w:lang w:val="en-US"/>
        </w:rPr>
      </w:pPr>
    </w:p>
    <w:sectPr w:rsidR="007613D8" w:rsidRPr="00C8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DD"/>
    <w:rsid w:val="007613D8"/>
    <w:rsid w:val="00A97C46"/>
    <w:rsid w:val="00C8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3860"/>
  <w15:chartTrackingRefBased/>
  <w15:docId w15:val="{AC89331A-2FCA-3443-B4B4-A874A029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819DD"/>
    <w:rPr>
      <w:b/>
      <w:bCs/>
    </w:rPr>
  </w:style>
  <w:style w:type="character" w:styleId="Accentuation">
    <w:name w:val="Emphasis"/>
    <w:basedOn w:val="Policepardfaut"/>
    <w:uiPriority w:val="20"/>
    <w:qFormat/>
    <w:rsid w:val="00C819DD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C81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stalenslyriqu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898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clg@lestalenslyriques.com</dc:creator>
  <cp:keywords/>
  <dc:description/>
  <cp:lastModifiedBy>clg@lestalenslyriques.com</cp:lastModifiedBy>
  <cp:revision>1</cp:revision>
  <dcterms:created xsi:type="dcterms:W3CDTF">2025-05-13T10:22:00Z</dcterms:created>
  <dcterms:modified xsi:type="dcterms:W3CDTF">2025-05-13T10:25:00Z</dcterms:modified>
</cp:coreProperties>
</file>